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08" w:rsidRDefault="005C4808" w:rsidP="005C4808">
      <w:pPr>
        <w:spacing w:after="0" w:line="240" w:lineRule="auto"/>
        <w:jc w:val="center"/>
        <w:outlineLvl w:val="0"/>
        <w:rPr>
          <w:rFonts w:ascii="Times New Roman" w:eastAsia="Times New Roman" w:hAnsi="Times New Roman" w:cs="Times New Roman"/>
          <w:b/>
          <w:kern w:val="36"/>
          <w:sz w:val="36"/>
          <w:szCs w:val="36"/>
          <w:lang w:eastAsia="ru-RU"/>
        </w:rPr>
      </w:pPr>
      <w:r w:rsidRPr="005C4808">
        <w:rPr>
          <w:rFonts w:ascii="Times New Roman" w:eastAsia="Times New Roman" w:hAnsi="Times New Roman" w:cs="Times New Roman"/>
          <w:b/>
          <w:kern w:val="36"/>
          <w:sz w:val="36"/>
          <w:szCs w:val="36"/>
          <w:lang w:eastAsia="ru-RU"/>
        </w:rPr>
        <w:t xml:space="preserve">Памятка безопасности: </w:t>
      </w:r>
    </w:p>
    <w:p w:rsidR="005C4808" w:rsidRPr="005C4808" w:rsidRDefault="005C4808" w:rsidP="005C4808">
      <w:pPr>
        <w:spacing w:after="0" w:line="240" w:lineRule="auto"/>
        <w:jc w:val="center"/>
        <w:outlineLvl w:val="0"/>
        <w:rPr>
          <w:rFonts w:ascii="Times New Roman" w:eastAsia="Times New Roman" w:hAnsi="Times New Roman" w:cs="Times New Roman"/>
          <w:b/>
          <w:kern w:val="36"/>
          <w:sz w:val="36"/>
          <w:szCs w:val="36"/>
          <w:lang w:eastAsia="ru-RU"/>
        </w:rPr>
      </w:pPr>
      <w:r w:rsidRPr="005C4808">
        <w:rPr>
          <w:rFonts w:ascii="Times New Roman" w:eastAsia="Times New Roman" w:hAnsi="Times New Roman" w:cs="Times New Roman"/>
          <w:b/>
          <w:kern w:val="36"/>
          <w:sz w:val="36"/>
          <w:szCs w:val="36"/>
          <w:lang w:eastAsia="ru-RU"/>
        </w:rPr>
        <w:t>Об эксплуатации газового оборудования</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Управление по развитию инфраструктуры и ЖКХ Администрации муниципального образования Юрьев-Польский район информирует о техническом обслуживани</w:t>
      </w:r>
      <w:r w:rsidR="00FB2A10">
        <w:rPr>
          <w:rFonts w:ascii="Times New Roman" w:eastAsia="Times New Roman" w:hAnsi="Times New Roman" w:cs="Times New Roman"/>
          <w:color w:val="333333"/>
          <w:sz w:val="26"/>
          <w:szCs w:val="26"/>
          <w:lang w:eastAsia="ru-RU"/>
        </w:rPr>
        <w:t>и</w:t>
      </w:r>
      <w:r w:rsidRPr="005C4808">
        <w:rPr>
          <w:rFonts w:ascii="Times New Roman" w:eastAsia="Times New Roman" w:hAnsi="Times New Roman" w:cs="Times New Roman"/>
          <w:color w:val="333333"/>
          <w:sz w:val="26"/>
          <w:szCs w:val="26"/>
          <w:lang w:eastAsia="ru-RU"/>
        </w:rPr>
        <w:t xml:space="preserve"> газового оборудования</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Что такое техобслуживание газового оборудования?</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Это регулярная проверка исправности газового оборудования, установленного как в частных домах, так и в подъездах и жилых квартирах многоквартирных домов.</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 xml:space="preserve">Чем отличаются </w:t>
      </w:r>
      <w:proofErr w:type="gramStart"/>
      <w:r w:rsidRPr="005C4808">
        <w:rPr>
          <w:rFonts w:ascii="Times New Roman" w:eastAsia="Times New Roman" w:hAnsi="Times New Roman" w:cs="Times New Roman"/>
          <w:b/>
          <w:bCs/>
          <w:i/>
          <w:iCs/>
          <w:color w:val="333333"/>
          <w:sz w:val="26"/>
          <w:szCs w:val="26"/>
          <w:lang w:eastAsia="ru-RU"/>
        </w:rPr>
        <w:t>внутридомовое</w:t>
      </w:r>
      <w:proofErr w:type="gramEnd"/>
      <w:r w:rsidRPr="005C4808">
        <w:rPr>
          <w:rFonts w:ascii="Times New Roman" w:eastAsia="Times New Roman" w:hAnsi="Times New Roman" w:cs="Times New Roman"/>
          <w:b/>
          <w:bCs/>
          <w:i/>
          <w:iCs/>
          <w:color w:val="333333"/>
          <w:sz w:val="26"/>
          <w:szCs w:val="26"/>
          <w:lang w:eastAsia="ru-RU"/>
        </w:rPr>
        <w:t xml:space="preserve"> и внутриквартирное?</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Внутридомовое газовое оборудование (ВДГО) – это общее имущество (стояки в доме, краны, расположенные в подъезде). В данном случае договор заключается между управляющей организацией, товариществом или кооперативом, которым собственники квартир доверяют представлять их интересы. В этом случае ответственность несет УК, ТСЖ или ТК.</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Внутриквартирное газовое оборудование (ВКГО) – имущество, расположенное в квартире (плита, колонка, водонагреватель или отопительный котел, первый кран в квартире, которым регулируется подача газа к плите или другому газовому оборудованию, а также подводка от него ко всем приборам). Ответственность за исправное состояние газового оборудования возложена на потребителя – собственника жилого помещения.</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 xml:space="preserve">Если говорить о муниципальном жилье, то согласно законодательству заключать договор на ТО ВКГО и все прочие договоры обязан наниматель или пользователь данных муниципальных жилых площадей. Ответственность за содержание жилого фонда, в том числе сетей </w:t>
      </w:r>
      <w:proofErr w:type="spellStart"/>
      <w:r w:rsidRPr="005C4808">
        <w:rPr>
          <w:rFonts w:ascii="Times New Roman" w:eastAsia="Times New Roman" w:hAnsi="Times New Roman" w:cs="Times New Roman"/>
          <w:color w:val="333333"/>
          <w:sz w:val="26"/>
          <w:szCs w:val="26"/>
          <w:lang w:eastAsia="ru-RU"/>
        </w:rPr>
        <w:t>газопотребления</w:t>
      </w:r>
      <w:proofErr w:type="spellEnd"/>
      <w:r w:rsidRPr="005C4808">
        <w:rPr>
          <w:rFonts w:ascii="Times New Roman" w:eastAsia="Times New Roman" w:hAnsi="Times New Roman" w:cs="Times New Roman"/>
          <w:color w:val="333333"/>
          <w:sz w:val="26"/>
          <w:szCs w:val="26"/>
          <w:lang w:eastAsia="ru-RU"/>
        </w:rPr>
        <w:t xml:space="preserve"> и газоиспользующего оборудования, прописывается в договоре социального найма.</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Зачем все это нужно?</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Заключение договора необходимо для того, чтобы обеспечить безопасность себе, своей семье и соседям по подъезду, подтверждая исправность газовых плит, газовых колонок или других приборов.</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С какой организацией можно заключить договоры?</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 xml:space="preserve">Согласно постановлению правительства заключить надо договор со специализированной организацией. Таковыми являются газораспределительные компании, которые осуществляют транспортировку газа до места соединения сети с газопроводом внутри дома, а также имеют соответствующий договор с поставщиком </w:t>
      </w:r>
      <w:proofErr w:type="spellStart"/>
      <w:r w:rsidRPr="005C4808">
        <w:rPr>
          <w:rFonts w:ascii="Times New Roman" w:eastAsia="Times New Roman" w:hAnsi="Times New Roman" w:cs="Times New Roman"/>
          <w:color w:val="333333"/>
          <w:sz w:val="26"/>
          <w:szCs w:val="26"/>
          <w:lang w:eastAsia="ru-RU"/>
        </w:rPr>
        <w:t>голубого</w:t>
      </w:r>
      <w:proofErr w:type="spellEnd"/>
      <w:r w:rsidRPr="005C4808">
        <w:rPr>
          <w:rFonts w:ascii="Times New Roman" w:eastAsia="Times New Roman" w:hAnsi="Times New Roman" w:cs="Times New Roman"/>
          <w:color w:val="333333"/>
          <w:sz w:val="26"/>
          <w:szCs w:val="26"/>
          <w:lang w:eastAsia="ru-RU"/>
        </w:rPr>
        <w:t xml:space="preserve"> топлива, аттестованный персонал и собственную аварийно-диспетчерскую службу.</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lastRenderedPageBreak/>
        <w:t>Кто выступает инициатором его заключения?</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Иметь договор на техобслуживание – обязанность владельцев газового оборудования. Поэтому и инициатором заключения выступать должны они. В отношении внутридомового газового оборудования многоквартирного дома – это УО или ТСЖ. Договор на ТО внутриквартирного газового оборудования для жильцов многоквартирного дома также удобнее всего заключить через УК. Для этого необходимо на общем собрании жильцов делегировать эти полномочия УК. В этом случае решение вопроса газовой безопасности приобретает сразу же системный характер: в зону ответственности попадают как ответственные квартиросъемщики, так безответственные граждане. При наличии общего договора на ТО ВКГО газовики обеспечат плановое обслуживание ГО в каждой квартире.</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Сколько платить?</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Прейскурант цен на техническое обслуживание внутриквартирного газового оборудования для населения единый. Право выбора способа оплаты остается за заказчиком: единовременно (после подписания акта выполненных работ) или ежемесячно равными долями. Если во время проведения работ по техобслуживанию выявляются какие-либо неисправности, требующие ремонта, то оплата за ремонт производится отдельно. Цена за работу по техобслуживанию зависит от количества оборудования, установленного в квартире или индивидуальном жилом доме. Конечно, владельцам квартир удобнее, если заключением договоров сразу всех квартир дома, проведением оплаты занимаются управляющие организации.</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Как и кому платить?</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В случае заключения договоров управляющей организацией плата за техническое обслуживание ВДГО и ВКГО будет включена в единую квитанцию по оплате коммунальных услуг. Если собственник заключил договор самостоятельно, то оплата производиться по отдельной квитанции. Причем, в случае выбора ежемесячного способа оплаты, тариф будут выше за счет дополнительных расходов по изготовлению и доставке квитанции.</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Периодичность техобслуживания?</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Техническое обслуживание бытового газоиспользующего оборудования осуществляется не реже 1 раза в 3 года, если иное не установлено изготовителем этого оборудования. По истечении нормативного срока службы газоиспользующее оборудование может эксплуатироваться только при наличии положительного заключения по результатам его технического диагностирования в течени</w:t>
      </w:r>
      <w:proofErr w:type="gramStart"/>
      <w:r w:rsidRPr="005C4808">
        <w:rPr>
          <w:rFonts w:ascii="Times New Roman" w:eastAsia="Times New Roman" w:hAnsi="Times New Roman" w:cs="Times New Roman"/>
          <w:color w:val="333333"/>
          <w:sz w:val="26"/>
          <w:szCs w:val="26"/>
          <w:lang w:eastAsia="ru-RU"/>
        </w:rPr>
        <w:t>и</w:t>
      </w:r>
      <w:proofErr w:type="gramEnd"/>
      <w:r w:rsidRPr="005C4808">
        <w:rPr>
          <w:rFonts w:ascii="Times New Roman" w:eastAsia="Times New Roman" w:hAnsi="Times New Roman" w:cs="Times New Roman"/>
          <w:color w:val="333333"/>
          <w:sz w:val="26"/>
          <w:szCs w:val="26"/>
          <w:lang w:eastAsia="ru-RU"/>
        </w:rPr>
        <w:t xml:space="preserve"> срока, указанного в этом заключении, и при его техническом обслуживании не реже 1 раза в год.</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Чем грозит отсутствие договора?</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 xml:space="preserve">Во-первых, необходимо понимать, что любое газовое оборудование является источником повышенной опасности. И если нет договора, это значит, что не </w:t>
      </w:r>
      <w:r w:rsidRPr="005C4808">
        <w:rPr>
          <w:rFonts w:ascii="Times New Roman" w:eastAsia="Times New Roman" w:hAnsi="Times New Roman" w:cs="Times New Roman"/>
          <w:color w:val="333333"/>
          <w:sz w:val="26"/>
          <w:szCs w:val="26"/>
          <w:lang w:eastAsia="ru-RU"/>
        </w:rPr>
        <w:lastRenderedPageBreak/>
        <w:t>выполняются своевременные необходимые работы по его техническому обслуживанию, и эта опасность возрастает многократно. Особенно это относится к оборудованию, установленному в многоквартирных домах, где опасности подвергается не только сам собственник квартиры, но и все жители дома. Во-вторых, наличие договора на ТО внутриквартирного газового оборудования является необходимым условием для поставки газа. Если нет договора, это является основанием для приостановки поставки газа. Конечно, в одночасье этого не произойдет. По правилам абоненту предварительно будет направлено предупреждение.</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b/>
          <w:bCs/>
          <w:i/>
          <w:iCs/>
          <w:color w:val="333333"/>
          <w:sz w:val="26"/>
          <w:szCs w:val="26"/>
          <w:lang w:eastAsia="ru-RU"/>
        </w:rPr>
        <w:t>На какой срок заключается договор?</w:t>
      </w:r>
    </w:p>
    <w:p w:rsidR="005C4808" w:rsidRPr="005C4808" w:rsidRDefault="005C4808" w:rsidP="005C4808">
      <w:pPr>
        <w:spacing w:before="100" w:beforeAutospacing="1" w:after="251" w:line="301" w:lineRule="atLeast"/>
        <w:jc w:val="both"/>
        <w:rPr>
          <w:rFonts w:ascii="Times New Roman" w:eastAsia="Times New Roman" w:hAnsi="Times New Roman" w:cs="Times New Roman"/>
          <w:color w:val="333333"/>
          <w:sz w:val="26"/>
          <w:szCs w:val="26"/>
          <w:lang w:eastAsia="ru-RU"/>
        </w:rPr>
      </w:pPr>
      <w:r w:rsidRPr="005C4808">
        <w:rPr>
          <w:rFonts w:ascii="Times New Roman" w:eastAsia="Times New Roman" w:hAnsi="Times New Roman" w:cs="Times New Roman"/>
          <w:color w:val="333333"/>
          <w:sz w:val="26"/>
          <w:szCs w:val="26"/>
          <w:lang w:eastAsia="ru-RU"/>
        </w:rPr>
        <w:t>Договор о техническом обслуживании и ремонте внутридомового и внутриквартирного газового оборудовании заключается в письменной форме на срок не менее 3 лет.</w:t>
      </w:r>
    </w:p>
    <w:p w:rsidR="005C4808" w:rsidRPr="005C4808" w:rsidRDefault="005C4808" w:rsidP="005C4808">
      <w:pPr>
        <w:shd w:val="clear" w:color="auto" w:fill="FFFFFF"/>
        <w:spacing w:before="100" w:beforeAutospacing="1" w:after="100" w:afterAutospacing="1" w:line="240" w:lineRule="auto"/>
        <w:jc w:val="both"/>
        <w:rPr>
          <w:rFonts w:ascii="Times New Roman" w:eastAsia="Times New Roman" w:hAnsi="Times New Roman" w:cs="Times New Roman"/>
          <w:i/>
          <w:color w:val="3F4F5D"/>
          <w:sz w:val="20"/>
          <w:szCs w:val="20"/>
          <w:lang w:eastAsia="ru-RU"/>
        </w:rPr>
      </w:pPr>
      <w:r w:rsidRPr="005C4808">
        <w:rPr>
          <w:rFonts w:ascii="Times New Roman" w:eastAsia="Times New Roman" w:hAnsi="Times New Roman" w:cs="Times New Roman"/>
          <w:b/>
          <w:bCs/>
          <w:i/>
          <w:color w:val="3F4F5D"/>
          <w:sz w:val="24"/>
          <w:szCs w:val="24"/>
          <w:lang w:eastAsia="ru-RU"/>
        </w:rPr>
        <w:t>Какие существуют штрафные санкции для тех, кто отказывается заключать договор на техобслуживание?</w:t>
      </w:r>
    </w:p>
    <w:p w:rsidR="005C4808" w:rsidRPr="005C4808" w:rsidRDefault="005C4808" w:rsidP="005C4808">
      <w:pPr>
        <w:shd w:val="clear" w:color="auto" w:fill="FFFFFF"/>
        <w:spacing w:before="100" w:beforeAutospacing="1" w:after="100" w:afterAutospacing="1" w:line="240" w:lineRule="auto"/>
        <w:jc w:val="both"/>
        <w:rPr>
          <w:rFonts w:ascii="Times New Roman" w:eastAsia="Times New Roman" w:hAnsi="Times New Roman" w:cs="Times New Roman"/>
          <w:color w:val="3F4F5D"/>
          <w:sz w:val="20"/>
          <w:szCs w:val="20"/>
          <w:lang w:eastAsia="ru-RU"/>
        </w:rPr>
      </w:pPr>
      <w:r w:rsidRPr="005C4808">
        <w:rPr>
          <w:rFonts w:ascii="Times New Roman" w:eastAsia="Times New Roman" w:hAnsi="Times New Roman" w:cs="Times New Roman"/>
          <w:color w:val="3F4F5D"/>
          <w:sz w:val="24"/>
          <w:szCs w:val="24"/>
          <w:lang w:eastAsia="ru-RU"/>
        </w:rPr>
        <w:t xml:space="preserve">Кроме основных норм, которые прописаны в Правилах пользования газом, Федеральным законом №412-ФЗ от 5 декабря 2016 года внесены изменения в </w:t>
      </w:r>
      <w:proofErr w:type="spellStart"/>
      <w:r w:rsidRPr="005C4808">
        <w:rPr>
          <w:rFonts w:ascii="Times New Roman" w:eastAsia="Times New Roman" w:hAnsi="Times New Roman" w:cs="Times New Roman"/>
          <w:color w:val="3F4F5D"/>
          <w:sz w:val="24"/>
          <w:szCs w:val="24"/>
          <w:lang w:eastAsia="ru-RU"/>
        </w:rPr>
        <w:t>КоАП</w:t>
      </w:r>
      <w:proofErr w:type="spellEnd"/>
      <w:r w:rsidRPr="005C4808">
        <w:rPr>
          <w:rFonts w:ascii="Times New Roman" w:eastAsia="Times New Roman" w:hAnsi="Times New Roman" w:cs="Times New Roman"/>
          <w:color w:val="3F4F5D"/>
          <w:sz w:val="24"/>
          <w:szCs w:val="24"/>
          <w:lang w:eastAsia="ru-RU"/>
        </w:rPr>
        <w:t xml:space="preserve"> РФ. Так, законодательно установлены размеры штрафов для физических и юридических лиц за нарушение правил обеспечения безопасного использования и содержания внутридомового и внутриквартирного газового оборудования (ВДГО/ВКГО). В частности:</w:t>
      </w:r>
    </w:p>
    <w:p w:rsidR="005C4808" w:rsidRPr="005C4808" w:rsidRDefault="005C4808" w:rsidP="005C4808">
      <w:pPr>
        <w:numPr>
          <w:ilvl w:val="0"/>
          <w:numId w:val="1"/>
        </w:numPr>
        <w:shd w:val="clear" w:color="auto" w:fill="FFFFFF"/>
        <w:spacing w:before="100" w:beforeAutospacing="1" w:after="100" w:afterAutospacing="1" w:line="240" w:lineRule="auto"/>
        <w:ind w:left="142" w:hanging="142"/>
        <w:jc w:val="both"/>
        <w:rPr>
          <w:rFonts w:ascii="Times New Roman" w:eastAsia="Times New Roman" w:hAnsi="Times New Roman" w:cs="Times New Roman"/>
          <w:color w:val="3F4F5D"/>
          <w:sz w:val="20"/>
          <w:szCs w:val="20"/>
          <w:lang w:eastAsia="ru-RU"/>
        </w:rPr>
      </w:pPr>
      <w:r w:rsidRPr="005C4808">
        <w:rPr>
          <w:rFonts w:ascii="Times New Roman" w:eastAsia="Times New Roman" w:hAnsi="Times New Roman" w:cs="Times New Roman"/>
          <w:color w:val="3F4F5D"/>
          <w:sz w:val="24"/>
          <w:szCs w:val="24"/>
          <w:lang w:eastAsia="ru-RU"/>
        </w:rPr>
        <w:t>уклонение от заключения договора о техническом обслуживании и ремонте ВДГО/ВКГО,</w:t>
      </w:r>
    </w:p>
    <w:p w:rsidR="005C4808" w:rsidRPr="005C4808" w:rsidRDefault="005C4808" w:rsidP="005C4808">
      <w:pPr>
        <w:numPr>
          <w:ilvl w:val="0"/>
          <w:numId w:val="1"/>
        </w:numPr>
        <w:shd w:val="clear" w:color="auto" w:fill="FFFFFF"/>
        <w:spacing w:before="100" w:beforeAutospacing="1" w:after="100" w:afterAutospacing="1" w:line="240" w:lineRule="auto"/>
        <w:ind w:left="142" w:hanging="142"/>
        <w:jc w:val="both"/>
        <w:rPr>
          <w:rFonts w:ascii="Times New Roman" w:eastAsia="Times New Roman" w:hAnsi="Times New Roman" w:cs="Times New Roman"/>
          <w:color w:val="3F4F5D"/>
          <w:sz w:val="20"/>
          <w:szCs w:val="20"/>
          <w:lang w:eastAsia="ru-RU"/>
        </w:rPr>
      </w:pPr>
      <w:r w:rsidRPr="005C4808">
        <w:rPr>
          <w:rFonts w:ascii="Times New Roman" w:eastAsia="Times New Roman" w:hAnsi="Times New Roman" w:cs="Times New Roman"/>
          <w:color w:val="3F4F5D"/>
          <w:sz w:val="24"/>
          <w:szCs w:val="24"/>
          <w:lang w:eastAsia="ru-RU"/>
        </w:rPr>
        <w:t>отказ в допуске представителя специализированной организации для выполнения работ по техническому обслуживанию и ремонту ВДГО/ВКГО,</w:t>
      </w:r>
    </w:p>
    <w:p w:rsidR="005C4808" w:rsidRPr="005C4808" w:rsidRDefault="005C4808" w:rsidP="005C4808">
      <w:pPr>
        <w:numPr>
          <w:ilvl w:val="0"/>
          <w:numId w:val="1"/>
        </w:numPr>
        <w:shd w:val="clear" w:color="auto" w:fill="FFFFFF"/>
        <w:spacing w:before="100" w:beforeAutospacing="1" w:after="100" w:afterAutospacing="1" w:line="240" w:lineRule="auto"/>
        <w:ind w:left="142" w:hanging="142"/>
        <w:jc w:val="both"/>
        <w:rPr>
          <w:rFonts w:ascii="Times New Roman" w:eastAsia="Times New Roman" w:hAnsi="Times New Roman" w:cs="Times New Roman"/>
          <w:color w:val="3F4F5D"/>
          <w:sz w:val="20"/>
          <w:szCs w:val="20"/>
          <w:lang w:eastAsia="ru-RU"/>
        </w:rPr>
      </w:pPr>
      <w:r w:rsidRPr="005C4808">
        <w:rPr>
          <w:rFonts w:ascii="Times New Roman" w:eastAsia="Times New Roman" w:hAnsi="Times New Roman" w:cs="Times New Roman"/>
          <w:color w:val="3F4F5D"/>
          <w:sz w:val="24"/>
          <w:szCs w:val="24"/>
          <w:lang w:eastAsia="ru-RU"/>
        </w:rPr>
        <w:t>уклонение от обязательной замены или обязательного диагностирования оборудования в составе ВДГО/ВКГО влечет наложение штрафа на граждан в размере 1-2 тысяч рублей, должностных лиц от  5 до 20 тысяч рублей, юридических лиц – от 40 до 100 тысяч рублей.</w:t>
      </w:r>
    </w:p>
    <w:p w:rsidR="005C4808" w:rsidRPr="005C4808" w:rsidRDefault="005C4808" w:rsidP="005C4808">
      <w:pPr>
        <w:shd w:val="clear" w:color="auto" w:fill="FFFFFF"/>
        <w:spacing w:before="100" w:beforeAutospacing="1" w:after="100" w:afterAutospacing="1" w:line="240" w:lineRule="auto"/>
        <w:jc w:val="both"/>
        <w:rPr>
          <w:rFonts w:ascii="Times New Roman" w:eastAsia="Times New Roman" w:hAnsi="Times New Roman" w:cs="Times New Roman"/>
          <w:color w:val="3F4F5D"/>
          <w:sz w:val="20"/>
          <w:szCs w:val="20"/>
          <w:lang w:eastAsia="ru-RU"/>
        </w:rPr>
      </w:pPr>
      <w:r w:rsidRPr="005C4808">
        <w:rPr>
          <w:rFonts w:ascii="Times New Roman" w:eastAsia="Times New Roman" w:hAnsi="Times New Roman" w:cs="Times New Roman"/>
          <w:color w:val="3F4F5D"/>
          <w:sz w:val="24"/>
          <w:szCs w:val="24"/>
          <w:lang w:eastAsia="ru-RU"/>
        </w:rPr>
        <w:t>Если перечисленные действия привели к аварии или возникновению угрозы жизни и здоровью людей, штраф составит: для граждан – от 10 до 30 тысяч рублей, должностных лиц – от 50 до 100 тысяч рублей, юридических лиц – от 100 до 400 тысяч рублей.</w:t>
      </w:r>
    </w:p>
    <w:p w:rsidR="005C4808" w:rsidRPr="005C4808" w:rsidRDefault="005C4808" w:rsidP="005C4808">
      <w:pPr>
        <w:shd w:val="clear" w:color="auto" w:fill="FFFFFF"/>
        <w:spacing w:before="100" w:beforeAutospacing="1" w:after="100" w:afterAutospacing="1" w:line="240" w:lineRule="auto"/>
        <w:jc w:val="both"/>
        <w:rPr>
          <w:rFonts w:ascii="Times New Roman" w:eastAsia="Times New Roman" w:hAnsi="Times New Roman" w:cs="Times New Roman"/>
          <w:color w:val="3F4F5D"/>
          <w:sz w:val="20"/>
          <w:szCs w:val="20"/>
          <w:lang w:eastAsia="ru-RU"/>
        </w:rPr>
      </w:pPr>
      <w:r w:rsidRPr="005C4808">
        <w:rPr>
          <w:rFonts w:ascii="Times New Roman" w:eastAsia="Times New Roman" w:hAnsi="Times New Roman" w:cs="Times New Roman"/>
          <w:color w:val="3F4F5D"/>
          <w:sz w:val="24"/>
          <w:szCs w:val="24"/>
          <w:lang w:eastAsia="ru-RU"/>
        </w:rPr>
        <w:t xml:space="preserve">Повторное правонарушение влечет наложение штрафа на граждан в размере от 2 до 5 тысяч рублей, должностных лиц – от 10 до 40 тысяч рублей или дисквалификацию на срок от  1 до 3-х лет,  юридических лиц – </w:t>
      </w:r>
      <w:proofErr w:type="gramStart"/>
      <w:r w:rsidRPr="005C4808">
        <w:rPr>
          <w:rFonts w:ascii="Times New Roman" w:eastAsia="Times New Roman" w:hAnsi="Times New Roman" w:cs="Times New Roman"/>
          <w:color w:val="3F4F5D"/>
          <w:sz w:val="24"/>
          <w:szCs w:val="24"/>
          <w:lang w:eastAsia="ru-RU"/>
        </w:rPr>
        <w:t>от</w:t>
      </w:r>
      <w:proofErr w:type="gramEnd"/>
      <w:r w:rsidRPr="005C4808">
        <w:rPr>
          <w:rFonts w:ascii="Times New Roman" w:eastAsia="Times New Roman" w:hAnsi="Times New Roman" w:cs="Times New Roman"/>
          <w:color w:val="3F4F5D"/>
          <w:sz w:val="24"/>
          <w:szCs w:val="24"/>
          <w:lang w:eastAsia="ru-RU"/>
        </w:rPr>
        <w:t xml:space="preserve"> 80 </w:t>
      </w:r>
      <w:proofErr w:type="gramStart"/>
      <w:r w:rsidRPr="005C4808">
        <w:rPr>
          <w:rFonts w:ascii="Times New Roman" w:eastAsia="Times New Roman" w:hAnsi="Times New Roman" w:cs="Times New Roman"/>
          <w:color w:val="3F4F5D"/>
          <w:sz w:val="24"/>
          <w:szCs w:val="24"/>
          <w:lang w:eastAsia="ru-RU"/>
        </w:rPr>
        <w:t>до</w:t>
      </w:r>
      <w:proofErr w:type="gramEnd"/>
      <w:r w:rsidRPr="005C4808">
        <w:rPr>
          <w:rFonts w:ascii="Times New Roman" w:eastAsia="Times New Roman" w:hAnsi="Times New Roman" w:cs="Times New Roman"/>
          <w:color w:val="3F4F5D"/>
          <w:sz w:val="24"/>
          <w:szCs w:val="24"/>
          <w:lang w:eastAsia="ru-RU"/>
        </w:rPr>
        <w:t xml:space="preserve"> 200 тысяч рублей или приостановление деятельности на срок до 90 суток.</w:t>
      </w:r>
    </w:p>
    <w:p w:rsidR="00F238E0" w:rsidRPr="005C4808" w:rsidRDefault="00F238E0">
      <w:pPr>
        <w:rPr>
          <w:rFonts w:ascii="Times New Roman" w:hAnsi="Times New Roman" w:cs="Times New Roman"/>
        </w:rPr>
      </w:pPr>
    </w:p>
    <w:sectPr w:rsidR="00F238E0" w:rsidRPr="005C4808" w:rsidSect="00F23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3064"/>
    <w:multiLevelType w:val="multilevel"/>
    <w:tmpl w:val="E70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4808"/>
    <w:rsid w:val="00085D2D"/>
    <w:rsid w:val="00151746"/>
    <w:rsid w:val="001A7153"/>
    <w:rsid w:val="002941A8"/>
    <w:rsid w:val="00313C22"/>
    <w:rsid w:val="00437487"/>
    <w:rsid w:val="004C6377"/>
    <w:rsid w:val="005C4808"/>
    <w:rsid w:val="006B26F3"/>
    <w:rsid w:val="006F42EC"/>
    <w:rsid w:val="008B7951"/>
    <w:rsid w:val="00914802"/>
    <w:rsid w:val="009307F4"/>
    <w:rsid w:val="00963C38"/>
    <w:rsid w:val="00A256CC"/>
    <w:rsid w:val="00A27394"/>
    <w:rsid w:val="00AB2FE6"/>
    <w:rsid w:val="00B053D8"/>
    <w:rsid w:val="00B4060E"/>
    <w:rsid w:val="00CA7741"/>
    <w:rsid w:val="00CD62A8"/>
    <w:rsid w:val="00DC1A22"/>
    <w:rsid w:val="00EE6106"/>
    <w:rsid w:val="00F238E0"/>
    <w:rsid w:val="00F6496D"/>
    <w:rsid w:val="00FB2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8E0"/>
  </w:style>
  <w:style w:type="paragraph" w:styleId="1">
    <w:name w:val="heading 1"/>
    <w:basedOn w:val="a"/>
    <w:link w:val="10"/>
    <w:uiPriority w:val="9"/>
    <w:qFormat/>
    <w:rsid w:val="005C4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8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4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4808"/>
  </w:style>
</w:styles>
</file>

<file path=word/webSettings.xml><?xml version="1.0" encoding="utf-8"?>
<w:webSettings xmlns:r="http://schemas.openxmlformats.org/officeDocument/2006/relationships" xmlns:w="http://schemas.openxmlformats.org/wordprocessingml/2006/main">
  <w:divs>
    <w:div w:id="848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2</cp:revision>
  <cp:lastPrinted>2018-08-07T06:17:00Z</cp:lastPrinted>
  <dcterms:created xsi:type="dcterms:W3CDTF">2018-08-07T06:33:00Z</dcterms:created>
  <dcterms:modified xsi:type="dcterms:W3CDTF">2018-08-07T06:33:00Z</dcterms:modified>
</cp:coreProperties>
</file>